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28"/>
          <w:szCs w:val="28"/>
        </w:rPr>
        <w:t>什么是IDC？</w:t>
      </w:r>
    </w:p>
    <w:p>
      <w:pPr>
        <w:rPr>
          <w:rFonts w:hint="eastAsia"/>
          <w:sz w:val="28"/>
          <w:szCs w:val="28"/>
        </w:rPr>
      </w:pPr>
    </w:p>
    <w:p>
      <w:pPr>
        <w:rPr>
          <w:rFonts w:hint="eastAsia"/>
          <w:sz w:val="28"/>
          <w:szCs w:val="28"/>
        </w:rPr>
      </w:pPr>
      <w:r>
        <w:rPr>
          <w:rFonts w:hint="eastAsia"/>
          <w:sz w:val="28"/>
          <w:szCs w:val="28"/>
        </w:rPr>
        <w:t>因特网数据中心业务(IDC)是指利用相应的机房设施，以外包出租的方式为用户的服务器等因特网或其他网络的相关设备提供放置、代理维护、系统配置及管理服务，以及提供数据库系统或服务器等设备的出租及其存储空间的出租、通信线路和出口带宽的代理租用和其它应用服务。</w:t>
      </w:r>
    </w:p>
    <w:p>
      <w:pPr>
        <w:rPr>
          <w:rFonts w:hint="eastAsia"/>
          <w:sz w:val="28"/>
          <w:szCs w:val="28"/>
        </w:rPr>
      </w:pPr>
      <w:r>
        <w:rPr>
          <w:rFonts w:hint="eastAsia"/>
          <w:sz w:val="28"/>
          <w:szCs w:val="28"/>
        </w:rPr>
        <w:t>因特网数据中心业务经营者必须提供机房和相应的配套设施，并提供安全保障措施。</w:t>
      </w:r>
    </w:p>
    <w:p>
      <w:pPr>
        <w:rPr>
          <w:rFonts w:hint="eastAsia"/>
          <w:sz w:val="28"/>
          <w:szCs w:val="28"/>
        </w:rPr>
      </w:pPr>
      <w:r>
        <w:rPr>
          <w:rFonts w:hint="eastAsia"/>
          <w:sz w:val="28"/>
          <w:szCs w:val="28"/>
        </w:rPr>
        <w:t>从事因特网数据中心业务就需要办理因特网数据中心业务(IDC)经营许可证。</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IDC许可证申请必备条件与所需材料</w:t>
      </w:r>
    </w:p>
    <w:p>
      <w:pPr>
        <w:rPr>
          <w:rFonts w:hint="eastAsia"/>
          <w:sz w:val="28"/>
          <w:szCs w:val="28"/>
        </w:rPr>
      </w:pPr>
    </w:p>
    <w:p>
      <w:pPr>
        <w:rPr>
          <w:rFonts w:hint="eastAsia"/>
          <w:sz w:val="28"/>
          <w:szCs w:val="28"/>
        </w:rPr>
      </w:pPr>
      <w:r>
        <w:rPr>
          <w:rFonts w:hint="eastAsia"/>
          <w:sz w:val="28"/>
          <w:szCs w:val="28"/>
        </w:rPr>
        <w:t>【IDC许可证申请必备条件】</w:t>
      </w:r>
    </w:p>
    <w:p>
      <w:pPr>
        <w:rPr>
          <w:rFonts w:hint="eastAsia"/>
          <w:sz w:val="28"/>
          <w:szCs w:val="28"/>
        </w:rPr>
      </w:pPr>
      <w:r>
        <w:rPr>
          <w:rFonts w:hint="eastAsia"/>
          <w:sz w:val="28"/>
          <w:szCs w:val="28"/>
        </w:rPr>
        <w:t>1、经营者为依法设立的公司</w:t>
      </w:r>
    </w:p>
    <w:p>
      <w:pPr>
        <w:rPr>
          <w:rFonts w:hint="eastAsia"/>
          <w:sz w:val="28"/>
          <w:szCs w:val="28"/>
        </w:rPr>
      </w:pPr>
      <w:r>
        <w:rPr>
          <w:rFonts w:hint="eastAsia"/>
          <w:sz w:val="28"/>
          <w:szCs w:val="28"/>
        </w:rPr>
        <w:t>2、有与开发经营活动相适应的资金(在省、自治区、直辖市范围内经营的，注册资本最低限额为100万元人民币;在全国或者跨省、自治区、直辖市范围经营的，注册资本最低限额为1000万元人民币)和专业人员</w:t>
      </w:r>
    </w:p>
    <w:p>
      <w:pPr>
        <w:rPr>
          <w:rFonts w:hint="eastAsia"/>
          <w:sz w:val="28"/>
          <w:szCs w:val="28"/>
        </w:rPr>
      </w:pPr>
      <w:r>
        <w:rPr>
          <w:rFonts w:hint="eastAsia"/>
          <w:sz w:val="28"/>
          <w:szCs w:val="28"/>
        </w:rPr>
        <w:t>3、有为用户提供长期服务的信誉或者能力</w:t>
      </w:r>
    </w:p>
    <w:p>
      <w:pPr>
        <w:rPr>
          <w:rFonts w:hint="eastAsia"/>
          <w:sz w:val="28"/>
          <w:szCs w:val="28"/>
        </w:rPr>
      </w:pPr>
      <w:r>
        <w:rPr>
          <w:rFonts w:hint="eastAsia"/>
          <w:sz w:val="28"/>
          <w:szCs w:val="28"/>
        </w:rPr>
        <w:t>4、有必要的场地、设施、业务发展计划及相关技术方案</w:t>
      </w:r>
    </w:p>
    <w:p>
      <w:pPr>
        <w:rPr>
          <w:rFonts w:hint="eastAsia"/>
          <w:sz w:val="28"/>
          <w:szCs w:val="28"/>
        </w:rPr>
      </w:pPr>
      <w:r>
        <w:rPr>
          <w:rFonts w:hint="eastAsia"/>
          <w:sz w:val="28"/>
          <w:szCs w:val="28"/>
        </w:rPr>
        <w:t>5、健全的网络与信息安全保障措施，包括网站安全保障措施、信息安全保密管理制度、用户信息安全管理制度</w:t>
      </w:r>
    </w:p>
    <w:p>
      <w:pPr>
        <w:rPr>
          <w:rFonts w:hint="eastAsia"/>
          <w:sz w:val="28"/>
          <w:szCs w:val="28"/>
        </w:rPr>
      </w:pPr>
      <w:r>
        <w:rPr>
          <w:rFonts w:hint="eastAsia"/>
          <w:sz w:val="28"/>
          <w:szCs w:val="28"/>
        </w:rPr>
        <w:t>6、涉及到IDC管理办法中规定须要前置审批的信息服务内容的，已取得有关主管部门同意的文件</w:t>
      </w:r>
    </w:p>
    <w:p>
      <w:pPr>
        <w:rPr>
          <w:rFonts w:hint="eastAsia"/>
          <w:sz w:val="28"/>
          <w:szCs w:val="28"/>
        </w:rPr>
      </w:pPr>
      <w:r>
        <w:rPr>
          <w:rFonts w:hint="eastAsia"/>
          <w:sz w:val="28"/>
          <w:szCs w:val="28"/>
        </w:rPr>
        <w:t>7、国家规定的其他条件</w:t>
      </w:r>
    </w:p>
    <w:p>
      <w:pPr>
        <w:rPr>
          <w:rFonts w:hint="eastAsia"/>
          <w:sz w:val="28"/>
          <w:szCs w:val="28"/>
        </w:rPr>
      </w:pPr>
    </w:p>
    <w:p>
      <w:pPr>
        <w:rPr>
          <w:rFonts w:hint="eastAsia"/>
          <w:sz w:val="28"/>
          <w:szCs w:val="28"/>
        </w:rPr>
      </w:pPr>
      <w:r>
        <w:rPr>
          <w:rFonts w:hint="eastAsia"/>
          <w:sz w:val="28"/>
          <w:szCs w:val="28"/>
        </w:rPr>
        <w:t>【IDC许可证申请所需材料】</w:t>
      </w:r>
    </w:p>
    <w:p>
      <w:pPr>
        <w:rPr>
          <w:rFonts w:hint="eastAsia"/>
          <w:sz w:val="28"/>
          <w:szCs w:val="28"/>
        </w:rPr>
      </w:pPr>
      <w:r>
        <w:rPr>
          <w:rFonts w:hint="eastAsia"/>
          <w:sz w:val="28"/>
          <w:szCs w:val="28"/>
        </w:rPr>
        <w:t>1、公司法定代表人签署的经营增值电信业务的书面申请。内容包括;申请电信业务的种类、业务覆盖范围、公司名称、通信地址、邮政编码、联系人、联系电话、电子信箱地址等;</w:t>
      </w:r>
    </w:p>
    <w:p>
      <w:pPr>
        <w:rPr>
          <w:rFonts w:hint="eastAsia"/>
          <w:sz w:val="28"/>
          <w:szCs w:val="28"/>
        </w:rPr>
      </w:pPr>
      <w:r>
        <w:rPr>
          <w:rFonts w:hint="eastAsia"/>
          <w:sz w:val="28"/>
          <w:szCs w:val="28"/>
        </w:rPr>
        <w:t>2、公司的企业法人营业执照副本及复印件;</w:t>
      </w:r>
    </w:p>
    <w:p>
      <w:pPr>
        <w:rPr>
          <w:rFonts w:hint="eastAsia"/>
          <w:sz w:val="28"/>
          <w:szCs w:val="28"/>
        </w:rPr>
      </w:pPr>
      <w:r>
        <w:rPr>
          <w:rFonts w:hint="eastAsia"/>
          <w:sz w:val="28"/>
          <w:szCs w:val="28"/>
        </w:rPr>
        <w:t>3、公司概况。包括公司基本情况，拟从事增值电信业务的人员、场地和设施等情况;</w:t>
      </w:r>
    </w:p>
    <w:p>
      <w:pPr>
        <w:rPr>
          <w:rFonts w:hint="eastAsia"/>
          <w:sz w:val="28"/>
          <w:szCs w:val="28"/>
        </w:rPr>
      </w:pPr>
      <w:r>
        <w:rPr>
          <w:rFonts w:hint="eastAsia"/>
          <w:sz w:val="28"/>
          <w:szCs w:val="28"/>
        </w:rPr>
        <w:t>4、公司最近经会计师事务所审计的企业法人年度财务会计报告或验资报告及电信主管部门规定的其他相关会计资料;</w:t>
      </w:r>
    </w:p>
    <w:p>
      <w:pPr>
        <w:rPr>
          <w:rFonts w:hint="eastAsia"/>
          <w:sz w:val="28"/>
          <w:szCs w:val="28"/>
        </w:rPr>
      </w:pPr>
      <w:r>
        <w:rPr>
          <w:rFonts w:hint="eastAsia"/>
          <w:sz w:val="28"/>
          <w:szCs w:val="28"/>
        </w:rPr>
        <w:t>5、公司章程，公司股权结构及股东的有关情况;</w:t>
      </w:r>
    </w:p>
    <w:p>
      <w:pPr>
        <w:rPr>
          <w:rFonts w:hint="eastAsia"/>
          <w:sz w:val="28"/>
          <w:szCs w:val="28"/>
        </w:rPr>
      </w:pPr>
      <w:r>
        <w:rPr>
          <w:rFonts w:hint="eastAsia"/>
          <w:sz w:val="28"/>
          <w:szCs w:val="28"/>
        </w:rPr>
        <w:t>6、业务发展可行性研究报告和技术方案。包括申请经营电信业务的业务发展和实施计划、技术方案、服务项目、业务覆盖范围、市场调研与分析、收费方案、预期服务质量、投资分析、社会效益和经济效益等;</w:t>
      </w:r>
    </w:p>
    <w:p>
      <w:pPr>
        <w:rPr>
          <w:rFonts w:hint="eastAsia"/>
          <w:sz w:val="28"/>
          <w:szCs w:val="28"/>
        </w:rPr>
      </w:pPr>
      <w:r>
        <w:rPr>
          <w:rFonts w:hint="eastAsia"/>
          <w:sz w:val="28"/>
          <w:szCs w:val="28"/>
        </w:rPr>
        <w:t>7、为用户提供长期服务和质量保障的措施;</w:t>
      </w:r>
    </w:p>
    <w:p>
      <w:pPr>
        <w:rPr>
          <w:rFonts w:hint="eastAsia"/>
          <w:sz w:val="28"/>
          <w:szCs w:val="28"/>
        </w:rPr>
      </w:pPr>
      <w:r>
        <w:rPr>
          <w:rFonts w:hint="eastAsia"/>
          <w:sz w:val="28"/>
          <w:szCs w:val="28"/>
        </w:rPr>
        <w:t>8、信息安全保障措施;</w:t>
      </w:r>
    </w:p>
    <w:p>
      <w:pPr>
        <w:rPr>
          <w:rFonts w:hint="eastAsia"/>
          <w:sz w:val="28"/>
          <w:szCs w:val="28"/>
        </w:rPr>
      </w:pPr>
      <w:r>
        <w:rPr>
          <w:rFonts w:hint="eastAsia"/>
          <w:sz w:val="28"/>
          <w:szCs w:val="28"/>
        </w:rPr>
        <w:t>9、证明公司信誉的有关材料;</w:t>
      </w:r>
    </w:p>
    <w:p>
      <w:pPr>
        <w:rPr>
          <w:rFonts w:hint="eastAsia"/>
          <w:sz w:val="28"/>
          <w:szCs w:val="28"/>
        </w:rPr>
      </w:pPr>
      <w:r>
        <w:rPr>
          <w:rFonts w:hint="eastAsia"/>
          <w:sz w:val="28"/>
          <w:szCs w:val="28"/>
        </w:rPr>
        <w:t>10、公司法定代表人签署的公司依法经营电信业务的承诺书;</w:t>
      </w:r>
    </w:p>
    <w:p>
      <w:pPr>
        <w:rPr>
          <w:rFonts w:hint="eastAsia"/>
          <w:sz w:val="28"/>
          <w:szCs w:val="28"/>
        </w:rPr>
      </w:pPr>
      <w:r>
        <w:rPr>
          <w:rFonts w:hint="eastAsia"/>
          <w:sz w:val="28"/>
          <w:szCs w:val="28"/>
        </w:rPr>
        <w:t>11、申请经营的电信业务依照法律、行政法规及国家有关规定须经有关主管部门事先审核同意的，应当提交有关主管部门审核同意的文件。</w:t>
      </w:r>
    </w:p>
    <w:p>
      <w:pPr>
        <w:rPr>
          <w:rFonts w:hint="eastAsia"/>
          <w:sz w:val="28"/>
          <w:szCs w:val="28"/>
        </w:rPr>
      </w:pPr>
    </w:p>
    <w:p>
      <w:pP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INCLUDEPICTURE \d "http://sysisp.com/data/upfiles/image/20160229153409_64748.png"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5648325" cy="74961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48325" cy="7496175"/>
                    </a:xfrm>
                    <a:prstGeom prst="rect">
                      <a:avLst/>
                    </a:prstGeom>
                    <a:noFill/>
                    <a:ln w="9525">
                      <a:noFill/>
                    </a:ln>
                  </pic:spPr>
                </pic:pic>
              </a:graphicData>
            </a:graphic>
          </wp:inline>
        </w:drawing>
      </w:r>
      <w:r>
        <w:rPr>
          <w:rFonts w:ascii="宋体" w:hAnsi="宋体" w:eastAsia="宋体" w:cs="宋体"/>
          <w:sz w:val="24"/>
          <w:szCs w:val="24"/>
        </w:rPr>
        <w:fldChar w:fldCharType="end"/>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5420" cy="2985770"/>
            <wp:effectExtent l="0" t="0" r="11430" b="5080"/>
            <wp:docPr id="4" name="图片 4" descr="20160229120604_8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160229120604_80267"/>
                    <pic:cNvPicPr>
                      <a:picLocks noChangeAspect="1"/>
                    </pic:cNvPicPr>
                  </pic:nvPicPr>
                  <pic:blipFill>
                    <a:blip r:embed="rId5"/>
                    <a:stretch>
                      <a:fillRect/>
                    </a:stretch>
                  </pic:blipFill>
                  <pic:spPr>
                    <a:xfrm>
                      <a:off x="0" y="0"/>
                      <a:ext cx="5265420" cy="2985770"/>
                    </a:xfrm>
                    <a:prstGeom prst="rect">
                      <a:avLst/>
                    </a:prstGeom>
                  </pic:spPr>
                </pic:pic>
              </a:graphicData>
            </a:graphic>
          </wp:inline>
        </w:drawing>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5420" cy="1395095"/>
            <wp:effectExtent l="0" t="0" r="11430" b="14605"/>
            <wp:docPr id="9" name="图片 9" descr="20160229121317_1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160229121317_17879"/>
                    <pic:cNvPicPr>
                      <a:picLocks noChangeAspect="1"/>
                    </pic:cNvPicPr>
                  </pic:nvPicPr>
                  <pic:blipFill>
                    <a:blip r:embed="rId6"/>
                    <a:stretch>
                      <a:fillRect/>
                    </a:stretch>
                  </pic:blipFill>
                  <pic:spPr>
                    <a:xfrm>
                      <a:off x="0" y="0"/>
                      <a:ext cx="5265420" cy="1395095"/>
                    </a:xfrm>
                    <a:prstGeom prst="rect">
                      <a:avLst/>
                    </a:prstGeom>
                  </pic:spPr>
                </pic:pic>
              </a:graphicData>
            </a:graphic>
          </wp:inline>
        </w:drawing>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5420" cy="4082415"/>
            <wp:effectExtent l="0" t="0" r="11430" b="13335"/>
            <wp:docPr id="6" name="图片 6" descr="20160229121344_8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160229121344_81855"/>
                    <pic:cNvPicPr>
                      <a:picLocks noChangeAspect="1"/>
                    </pic:cNvPicPr>
                  </pic:nvPicPr>
                  <pic:blipFill>
                    <a:blip r:embed="rId7"/>
                    <a:stretch>
                      <a:fillRect/>
                    </a:stretch>
                  </pic:blipFill>
                  <pic:spPr>
                    <a:xfrm>
                      <a:off x="0" y="0"/>
                      <a:ext cx="5265420" cy="4082415"/>
                    </a:xfrm>
                    <a:prstGeom prst="rect">
                      <a:avLst/>
                    </a:prstGeom>
                  </pic:spPr>
                </pic:pic>
              </a:graphicData>
            </a:graphic>
          </wp:inline>
        </w:drawing>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5420" cy="1286510"/>
            <wp:effectExtent l="0" t="0" r="11430" b="8890"/>
            <wp:docPr id="8" name="图片 8" descr="20160229122649_30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160229122649_30882"/>
                    <pic:cNvPicPr>
                      <a:picLocks noChangeAspect="1"/>
                    </pic:cNvPicPr>
                  </pic:nvPicPr>
                  <pic:blipFill>
                    <a:blip r:embed="rId8"/>
                    <a:stretch>
                      <a:fillRect/>
                    </a:stretch>
                  </pic:blipFill>
                  <pic:spPr>
                    <a:xfrm>
                      <a:off x="0" y="0"/>
                      <a:ext cx="5265420" cy="1286510"/>
                    </a:xfrm>
                    <a:prstGeom prst="rect">
                      <a:avLst/>
                    </a:prstGeom>
                  </pic:spPr>
                </pic:pic>
              </a:graphicData>
            </a:graphic>
          </wp:inline>
        </w:drawing>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5420" cy="3328035"/>
            <wp:effectExtent l="0" t="0" r="11430" b="5715"/>
            <wp:docPr id="10" name="图片 10" descr="20160229123729_32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160229123729_32393"/>
                    <pic:cNvPicPr>
                      <a:picLocks noChangeAspect="1"/>
                    </pic:cNvPicPr>
                  </pic:nvPicPr>
                  <pic:blipFill>
                    <a:blip r:embed="rId9"/>
                    <a:stretch>
                      <a:fillRect/>
                    </a:stretch>
                  </pic:blipFill>
                  <pic:spPr>
                    <a:xfrm>
                      <a:off x="0" y="0"/>
                      <a:ext cx="5265420" cy="3328035"/>
                    </a:xfrm>
                    <a:prstGeom prst="rect">
                      <a:avLst/>
                    </a:prstGeom>
                  </pic:spPr>
                </pic:pic>
              </a:graphicData>
            </a:graphic>
          </wp:inline>
        </w:drawing>
      </w:r>
    </w:p>
    <w:p>
      <w:pPr>
        <w:rPr>
          <w:rFonts w:hint="eastAsia" w:ascii="宋体" w:hAnsi="宋体" w:eastAsia="宋体" w:cs="宋体"/>
          <w:sz w:val="24"/>
          <w:szCs w:val="24"/>
          <w:lang w:eastAsia="zh-CN"/>
        </w:rPr>
      </w:pPr>
    </w:p>
    <w:p>
      <w:pPr>
        <w:numPr>
          <w:ilvl w:val="0"/>
          <w:numId w:val="1"/>
        </w:numPr>
        <w:rPr>
          <w:rFonts w:ascii="宋体" w:hAnsi="宋体" w:eastAsia="宋体" w:cs="宋体"/>
          <w:b w:val="0"/>
          <w:i w:val="0"/>
          <w:caps w:val="0"/>
          <w:color w:val="666666"/>
          <w:spacing w:val="0"/>
          <w:sz w:val="36"/>
          <w:szCs w:val="36"/>
        </w:rPr>
      </w:pPr>
      <w:r>
        <w:rPr>
          <w:rFonts w:ascii="宋体" w:hAnsi="宋体" w:eastAsia="宋体" w:cs="宋体"/>
          <w:b w:val="0"/>
          <w:i w:val="0"/>
          <w:caps w:val="0"/>
          <w:color w:val="666666"/>
          <w:spacing w:val="0"/>
          <w:sz w:val="36"/>
          <w:szCs w:val="36"/>
        </w:rPr>
        <w:t>机房运行安全评测</w:t>
      </w: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drawing>
          <wp:inline distT="0" distB="0" distL="114300" distR="114300">
            <wp:extent cx="5265420" cy="1736725"/>
            <wp:effectExtent l="0" t="0" r="11430" b="15875"/>
            <wp:docPr id="11" name="图片 11" descr="20160229154715_38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0160229154715_38364"/>
                    <pic:cNvPicPr>
                      <a:picLocks noChangeAspect="1"/>
                    </pic:cNvPicPr>
                  </pic:nvPicPr>
                  <pic:blipFill>
                    <a:blip r:embed="rId10"/>
                    <a:stretch>
                      <a:fillRect/>
                    </a:stretch>
                  </pic:blipFill>
                  <pic:spPr>
                    <a:xfrm>
                      <a:off x="0" y="0"/>
                      <a:ext cx="5265420" cy="1736725"/>
                    </a:xfrm>
                    <a:prstGeom prst="rect">
                      <a:avLst/>
                    </a:prstGeom>
                  </pic:spPr>
                </pic:pic>
              </a:graphicData>
            </a:graphic>
          </wp:inline>
        </w:drawing>
      </w:r>
    </w:p>
    <w:p>
      <w:pPr>
        <w:numPr>
          <w:ilvl w:val="0"/>
          <w:numId w:val="0"/>
        </w:numPr>
        <w:rPr>
          <w:rFonts w:hint="eastAsia" w:ascii="宋体" w:hAnsi="宋体" w:eastAsia="宋体" w:cs="宋体"/>
          <w:b w:val="0"/>
          <w:i w:val="0"/>
          <w:caps w:val="0"/>
          <w:color w:val="666666"/>
          <w:spacing w:val="0"/>
          <w:sz w:val="36"/>
          <w:szCs w:val="36"/>
          <w:lang w:eastAsia="zh-CN"/>
        </w:rPr>
      </w:pPr>
    </w:p>
    <w:p>
      <w:pPr>
        <w:numPr>
          <w:ilvl w:val="0"/>
          <w:numId w:val="0"/>
        </w:numPr>
        <w:rPr>
          <w:rFonts w:hint="eastAsia" w:ascii="宋体" w:hAnsi="宋体" w:eastAsia="宋体" w:cs="宋体"/>
          <w:b w:val="0"/>
          <w:i w:val="0"/>
          <w:caps w:val="0"/>
          <w:color w:val="666666"/>
          <w:spacing w:val="0"/>
          <w:sz w:val="36"/>
          <w:szCs w:val="36"/>
          <w:lang w:eastAsia="zh-CN"/>
        </w:rPr>
      </w:pP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IDC机房评测指标</w:t>
      </w:r>
    </w:p>
    <w:p>
      <w:pPr>
        <w:numPr>
          <w:ilvl w:val="0"/>
          <w:numId w:val="0"/>
        </w:numPr>
        <w:rPr>
          <w:rFonts w:hint="eastAsia" w:ascii="宋体" w:hAnsi="宋体" w:eastAsia="宋体" w:cs="宋体"/>
          <w:b w:val="0"/>
          <w:i w:val="0"/>
          <w:caps w:val="0"/>
          <w:color w:val="666666"/>
          <w:spacing w:val="0"/>
          <w:sz w:val="36"/>
          <w:szCs w:val="36"/>
          <w:lang w:eastAsia="zh-CN"/>
        </w:rPr>
      </w:pP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一、外部环境</w:t>
      </w: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（1）应远离产生粉尘、油烟、有害气体以及生产或存储具有腐蚀性、易燃、易爆物品的场所。</w:t>
      </w: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（2）应远离水灾和火灾隐患区域。</w:t>
      </w: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二、建筑安全</w:t>
      </w: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（1）机房建筑的耐火等级：不低于二级。</w:t>
      </w: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（2）IDC机房主机房楼面活荷载要求为主机房在8KN/㎡-10KN/㎡之间。</w:t>
      </w: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（3）抗震设防分类：不应低于丙类</w:t>
      </w: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（4）对机房划分区域管理。IDC机房功能分区宜包括：主机房区、辅助区、支持区等功能区组成。</w:t>
      </w: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三、供电安全</w:t>
      </w: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1）应当采用两路市电供电方式，两路市电应当从两个稳定可靠的独立电源引入，两路市电不能因检修同时停电。当不具备引入两路市电的条件时，应当配置一套发电机组。发电机组的容量应当能同时满足通信负荷功率、蓄电池组充电功率、机房保证空调以及照明、消防电梯、消防水泵等其他保证负荷功率。</w:t>
      </w: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（2）机房供电线路应当配置过电压防护设备，并根据需要配置稳压器。</w:t>
      </w: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（3）储油间设置在IDC机房内时，其总储存量不应超过8.00h的需求量，且储油间应采用防火墙与发电机隔开。储油容器应当设置水位监测点，防止储油容器进水导致发电机组无法启动。</w:t>
      </w: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（4）交流电源线、直流电源线、信号线严禁交叉、重叠。双回路配电的线路应当分开敷设，暂时无法分开时应当采用规范的防护隔离措施。</w:t>
      </w: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四、网络架构安全</w:t>
      </w: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1）IDC关键网络设施（包括核心路由器、核心交换机及先关通信链路等）须具备必要地安全安全冗余措施。与因特网连接的IDC出口网络设施宜采取物理节点和物理链路冗余配置，避免单点单链路故障造成业务全阻。</w:t>
      </w: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五、安防</w:t>
      </w: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1）IDC机房应设置安全防范系统。安全防系统宜由视频监控系统、入侵报警系统和出入口控制系统组成，各系统之间应具备联动控制功能。具备条件的机房，应实现主机房内、主机房出入口和监控中心的视频监视；主机房入口、监控中心配备门禁，电源机房配备门禁或入侵探测器。条件较差的机房，应实现监控中心和电源机房配置机械锁，主机房出入口配备机械锁和入侵探测器。</w:t>
      </w: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（2）IDC机房应设置动力环境和设备监控系统。</w:t>
      </w: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六、消防安全</w:t>
      </w: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（1）IDC机房应当配置火灾自动报警系统和灭火系统等消防设置和器材，设置消防安全标志。</w:t>
      </w: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（2）应当建立消防监控平台，对IDC内的报警、灭火等系统进行集中监控。消防监控系统应当监控IDC消防设施系统分部信息，建立日常消防安全管理日志，将IDC机房的日常防火管理信息自动记录到系统中。</w:t>
      </w: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（3）IDC应当保持防火门的闭合状态，机房内的疏散走道、安全出口处应当设疏散指示标志和应急照明。</w:t>
      </w: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七、内部环境安全</w:t>
      </w: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（1）主机房开机温度：18℃-28℃；主机房停机温度：5℃-35℃。</w:t>
      </w:r>
    </w:p>
    <w:p>
      <w:pPr>
        <w:numPr>
          <w:ilvl w:val="0"/>
          <w:numId w:val="0"/>
        </w:numPr>
        <w:rPr>
          <w:rFonts w:hint="eastAsia" w:ascii="宋体" w:hAnsi="宋体" w:eastAsia="宋体" w:cs="宋体"/>
          <w:b w:val="0"/>
          <w:i w:val="0"/>
          <w:caps w:val="0"/>
          <w:color w:val="666666"/>
          <w:spacing w:val="0"/>
          <w:sz w:val="36"/>
          <w:szCs w:val="36"/>
          <w:lang w:eastAsia="zh-CN"/>
        </w:rPr>
      </w:pPr>
      <w:r>
        <w:rPr>
          <w:rFonts w:hint="eastAsia" w:ascii="宋体" w:hAnsi="宋体" w:eastAsia="宋体" w:cs="宋体"/>
          <w:b w:val="0"/>
          <w:i w:val="0"/>
          <w:caps w:val="0"/>
          <w:color w:val="666666"/>
          <w:spacing w:val="0"/>
          <w:sz w:val="36"/>
          <w:szCs w:val="36"/>
          <w:lang w:eastAsia="zh-CN"/>
        </w:rPr>
        <w:t>（2）主机房开机湿度：35%-75%；主机房停机湿度：20&amp;-80%。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83A17"/>
    <w:multiLevelType w:val="singleLevel"/>
    <w:tmpl w:val="58183A17"/>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8B27F4"/>
    <w:rsid w:val="3DCA130B"/>
    <w:rsid w:val="71FD24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2016-11-01T06:45:00Z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